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96" w:rsidRPr="00893D96" w:rsidRDefault="00893D96" w:rsidP="00893D96">
      <w:pPr>
        <w:widowControl/>
        <w:shd w:val="clear" w:color="auto" w:fill="FFFFFF"/>
        <w:spacing w:before="100" w:beforeAutospacing="1" w:after="100" w:afterAutospacing="1" w:line="390" w:lineRule="atLeast"/>
        <w:jc w:val="center"/>
        <w:outlineLvl w:val="0"/>
        <w:rPr>
          <w:rFonts w:ascii="Tahoma" w:eastAsia="宋体" w:hAnsi="Tahoma" w:cs="Tahoma" w:hint="eastAsia"/>
          <w:color w:val="333333"/>
          <w:kern w:val="0"/>
          <w:sz w:val="18"/>
          <w:szCs w:val="18"/>
        </w:rPr>
      </w:pPr>
      <w:r w:rsidRPr="00893D96">
        <w:rPr>
          <w:rFonts w:ascii="微软雅黑" w:eastAsia="微软雅黑" w:hAnsi="微软雅黑" w:cs="Tahoma" w:hint="eastAsia"/>
          <w:b/>
          <w:bCs/>
          <w:color w:val="555555"/>
          <w:kern w:val="36"/>
          <w:sz w:val="36"/>
          <w:szCs w:val="36"/>
        </w:rPr>
        <w:t>滨州学院2019年招飞简章（含初检报名表）</w:t>
      </w:r>
      <w:bookmarkStart w:id="0" w:name="_GoBack"/>
      <w:bookmarkEnd w:id="0"/>
      <w:r w:rsidRPr="00893D96">
        <w:rPr>
          <w:rFonts w:ascii="Tahoma" w:eastAsia="宋体" w:hAnsi="Tahoma" w:cs="Tahoma"/>
          <w:color w:val="FFFFFF"/>
          <w:kern w:val="0"/>
          <w:sz w:val="18"/>
          <w:szCs w:val="18"/>
        </w:rPr>
        <w:t xml:space="preserve"> </w:t>
      </w:r>
    </w:p>
    <w:p w:rsidR="00893D96" w:rsidRPr="00893D96" w:rsidRDefault="00893D96" w:rsidP="00893D96">
      <w:pPr>
        <w:widowControl/>
        <w:shd w:val="clear" w:color="auto" w:fill="FFFFFF"/>
        <w:spacing w:before="100" w:beforeAutospacing="1" w:after="150"/>
        <w:jc w:val="center"/>
        <w:rPr>
          <w:rFonts w:ascii="Tahoma" w:eastAsia="宋体" w:hAnsi="Tahoma" w:cs="Tahoma"/>
          <w:color w:val="333333"/>
          <w:kern w:val="0"/>
          <w:szCs w:val="21"/>
        </w:rPr>
      </w:pPr>
      <w:r w:rsidRPr="00893D96">
        <w:rPr>
          <w:rFonts w:ascii="华文行楷" w:eastAsia="华文行楷" w:hAnsi="Tahoma" w:cs="Tahoma" w:hint="eastAsia"/>
          <w:color w:val="333333"/>
          <w:kern w:val="0"/>
          <w:sz w:val="30"/>
          <w:szCs w:val="30"/>
        </w:rPr>
        <w:t>滨州学院简介</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bookmarkStart w:id="1" w:name="_Hlk527535290"/>
      <w:bookmarkEnd w:id="1"/>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 xml:space="preserve"> 滨州学院是一所省属全日制综合性普通本科院校，坐落在中国古代著名军事家“兵圣”孙武的故乡、渤海之滨、富饶美丽的黄河三角洲腹地现代生态园林型城市——滨州市。学校有60余年的办学历史，现有教职工1450余人，设有19个二级学院，55个本科专业，29个专科专业，占地1970亩，校舍建筑面积61.37万平方米，资产总值14.25亿元，图书馆纸质图书171.7万册，电子图书112万册，科研仪器设备总值1.96亿元。面向全国30个省（市、自治区）招生，现有全日制普通本专科在校生2万余人。</w:t>
      </w:r>
    </w:p>
    <w:p w:rsidR="00893D96" w:rsidRPr="00893D96" w:rsidRDefault="00893D96" w:rsidP="00893D96">
      <w:pPr>
        <w:widowControl/>
        <w:shd w:val="clear" w:color="auto" w:fill="FFFFFF"/>
        <w:spacing w:before="100" w:beforeAutospacing="1" w:line="522"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2006年设置了飞行技术专业，组建了飞行学院，成为全国第一家培养飞行员的地方普通本科院校；现有飞行学院、航空工程学院、机场学院、乘务学院等4个航空类学院，有飞行技术、空中乘务、民航机务工程、空中交通管理与签派、机场运行与管理、飞行器动力工程、飞行器制造工程等24个专业（方向）面向航空领域培养人才；先后与中国国际货运航空公司、山东航空股份有限公司、海南航空股份有限公司、四川航空公司、厦门航空股份有限公司、春秋航空有限公司等20家单位“订单式”联合培养飞行驾驶、飞行安全、空中乘务等运输航空人才，已有3000余名学生顺利毕业，有300余名毕业生升任机长。</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 xml:space="preserve"> 一、培养模式</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宋体" w:eastAsia="宋体" w:hAnsi="宋体" w:cs="宋体" w:hint="eastAsia"/>
          <w:color w:val="333333"/>
          <w:kern w:val="0"/>
          <w:sz w:val="27"/>
          <w:szCs w:val="27"/>
        </w:rPr>
        <w:lastRenderedPageBreak/>
        <w:t>     </w:t>
      </w:r>
      <w:r w:rsidRPr="00893D96">
        <w:rPr>
          <w:rFonts w:ascii="仿宋_GB2312" w:eastAsia="仿宋_GB2312" w:hAnsi="黑体" w:cs="Tahoma" w:hint="eastAsia"/>
          <w:color w:val="333333"/>
          <w:kern w:val="0"/>
          <w:sz w:val="27"/>
          <w:szCs w:val="27"/>
        </w:rPr>
        <w:t>1、飞行技术专业，学制四年，本科学历，工学学位，订单式为相应航空公司培养飞行驾驶员。</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2、在校2年期间，施行准军事化管理。须完成教育部规定的必修课程学分，成绩合格。</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3、在航校2年期间，进行航空模拟实训，须考取中国民用航空局认可的相关执照，返校后颁发毕业证和学位证书。</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 xml:space="preserve"> 二、报考条件</w:t>
      </w:r>
    </w:p>
    <w:p w:rsidR="00893D96" w:rsidRPr="00893D96" w:rsidRDefault="00893D96" w:rsidP="00893D96">
      <w:pPr>
        <w:widowControl/>
        <w:shd w:val="clear" w:color="auto" w:fill="FFFFFF"/>
        <w:spacing w:before="100" w:beforeAutospacing="1" w:line="522" w:lineRule="atLeast"/>
        <w:ind w:firstLine="550"/>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1、符合普通高校招生条件的参加2019年普通高校夏季招生全国统一考试的男性高中毕业生，文理兼招，外语语种仅限英语。</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2、年龄要求：16至20周岁（1999年9月1日—2003年8月31日）。</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3、背景调查、身体条件符合中国民航招收飞行技术专业学生条件。</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4、具体要求参考滨州学院招收飞行学生自荐标准（详见附件1）。</w:t>
      </w:r>
    </w:p>
    <w:p w:rsidR="00893D96" w:rsidRDefault="00893D96" w:rsidP="00893D96">
      <w:pPr>
        <w:widowControl/>
        <w:shd w:val="clear" w:color="auto" w:fill="FFFFFF"/>
        <w:spacing w:before="100" w:beforeAutospacing="1" w:line="522" w:lineRule="atLeast"/>
        <w:jc w:val="left"/>
        <w:rPr>
          <w:rFonts w:ascii="仿宋_GB2312" w:eastAsia="仿宋_GB2312" w:hAnsi="Tahoma" w:cs="Tahoma" w:hint="eastAsia"/>
          <w:color w:val="333333"/>
          <w:kern w:val="0"/>
          <w:sz w:val="27"/>
          <w:szCs w:val="27"/>
        </w:rPr>
      </w:pPr>
      <w:r w:rsidRPr="00893D96">
        <w:rPr>
          <w:rFonts w:ascii="仿宋_GB2312" w:eastAsia="仿宋_GB2312" w:hAnsi="Tahoma" w:cs="Tahoma" w:hint="eastAsia"/>
          <w:color w:val="333333"/>
          <w:kern w:val="0"/>
          <w:szCs w:val="21"/>
        </w:rPr>
        <w:t>      </w:t>
      </w:r>
      <w:r w:rsidRPr="00893D96">
        <w:rPr>
          <w:rFonts w:ascii="仿宋_GB2312" w:eastAsia="仿宋_GB2312" w:hAnsi="Tahoma" w:cs="Tahoma" w:hint="eastAsia"/>
          <w:color w:val="333333"/>
          <w:kern w:val="0"/>
          <w:sz w:val="27"/>
          <w:szCs w:val="27"/>
        </w:rPr>
        <w:t>5、贵州省飞行技术（通航方向）考生体检参照121部体检标准进行体检。</w:t>
      </w:r>
      <w:r w:rsidRPr="00893D96">
        <w:rPr>
          <w:rFonts w:ascii="仿宋_GB2312" w:eastAsia="仿宋_GB2312" w:hAnsi="Tahoma" w:cs="Tahoma" w:hint="eastAsia"/>
          <w:color w:val="333333"/>
          <w:kern w:val="0"/>
          <w:sz w:val="27"/>
          <w:szCs w:val="27"/>
        </w:rPr>
        <w:t> </w:t>
      </w:r>
    </w:p>
    <w:p w:rsidR="00893D96" w:rsidRDefault="00893D96" w:rsidP="00893D96">
      <w:pPr>
        <w:widowControl/>
        <w:shd w:val="clear" w:color="auto" w:fill="FFFFFF"/>
        <w:spacing w:before="100" w:beforeAutospacing="1" w:line="522" w:lineRule="atLeast"/>
        <w:jc w:val="left"/>
        <w:rPr>
          <w:rFonts w:ascii="仿宋_GB2312" w:eastAsia="仿宋_GB2312" w:hAnsi="Tahoma" w:cs="Tahoma" w:hint="eastAsia"/>
          <w:color w:val="333333"/>
          <w:kern w:val="0"/>
          <w:sz w:val="27"/>
          <w:szCs w:val="27"/>
        </w:rPr>
      </w:pP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p>
    <w:p w:rsidR="00893D96" w:rsidRPr="00893D96" w:rsidRDefault="00893D96" w:rsidP="00893D96">
      <w:pPr>
        <w:widowControl/>
        <w:shd w:val="clear" w:color="auto" w:fill="FFFFFF"/>
        <w:spacing w:line="495" w:lineRule="exact"/>
        <w:ind w:firstLine="555"/>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9"/>
          <w:szCs w:val="29"/>
        </w:rPr>
        <w:t>三、各省市招生计划</w:t>
      </w:r>
    </w:p>
    <w:tbl>
      <w:tblPr>
        <w:tblW w:w="5000" w:type="pct"/>
        <w:tblCellMar>
          <w:left w:w="105" w:type="dxa"/>
          <w:right w:w="105" w:type="dxa"/>
        </w:tblCellMar>
        <w:tblLook w:val="04A0" w:firstRow="1" w:lastRow="0" w:firstColumn="1" w:lastColumn="0" w:noHBand="0" w:noVBand="1"/>
      </w:tblPr>
      <w:tblGrid>
        <w:gridCol w:w="933"/>
        <w:gridCol w:w="439"/>
        <w:gridCol w:w="439"/>
        <w:gridCol w:w="439"/>
        <w:gridCol w:w="439"/>
        <w:gridCol w:w="465"/>
        <w:gridCol w:w="441"/>
        <w:gridCol w:w="441"/>
        <w:gridCol w:w="441"/>
        <w:gridCol w:w="441"/>
        <w:gridCol w:w="441"/>
        <w:gridCol w:w="512"/>
        <w:gridCol w:w="441"/>
        <w:gridCol w:w="441"/>
        <w:gridCol w:w="441"/>
        <w:gridCol w:w="441"/>
        <w:gridCol w:w="441"/>
        <w:gridCol w:w="440"/>
      </w:tblGrid>
      <w:tr w:rsidR="00893D96" w:rsidRPr="00893D96" w:rsidTr="00893D96">
        <w:trPr>
          <w:trHeight w:val="585"/>
        </w:trPr>
        <w:tc>
          <w:tcPr>
            <w:tcW w:w="431"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黑体" w:cs="宋体" w:hint="eastAsia"/>
                <w:b/>
                <w:color w:val="000000"/>
                <w:kern w:val="0"/>
                <w:sz w:val="18"/>
                <w:szCs w:val="18"/>
              </w:rPr>
              <w:t>省（市）</w:t>
            </w:r>
          </w:p>
        </w:tc>
        <w:tc>
          <w:tcPr>
            <w:tcW w:w="268" w:type="pct"/>
            <w:tcBorders>
              <w:top w:val="single" w:sz="6" w:space="0" w:color="000000"/>
              <w:left w:val="nil"/>
              <w:bottom w:val="single" w:sz="6" w:space="0" w:color="000000"/>
              <w:right w:val="single" w:sz="6" w:space="0" w:color="000000"/>
            </w:tcBorders>
            <w:shd w:val="clear" w:color="auto" w:fill="auto"/>
            <w:noWrap/>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北</w:t>
            </w:r>
          </w:p>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京</w:t>
            </w:r>
          </w:p>
        </w:tc>
        <w:tc>
          <w:tcPr>
            <w:tcW w:w="268" w:type="pct"/>
            <w:tcBorders>
              <w:top w:val="single" w:sz="6" w:space="0" w:color="000000"/>
              <w:left w:val="nil"/>
              <w:bottom w:val="single" w:sz="6" w:space="0" w:color="000000"/>
              <w:right w:val="single" w:sz="6" w:space="0" w:color="000000"/>
            </w:tcBorders>
            <w:shd w:val="clear" w:color="auto" w:fill="auto"/>
            <w:noWrap/>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河</w:t>
            </w:r>
          </w:p>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北</w:t>
            </w:r>
          </w:p>
        </w:tc>
        <w:tc>
          <w:tcPr>
            <w:tcW w:w="268" w:type="pct"/>
            <w:tcBorders>
              <w:top w:val="single" w:sz="6" w:space="0" w:color="000000"/>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山西</w:t>
            </w:r>
          </w:p>
        </w:tc>
        <w:tc>
          <w:tcPr>
            <w:tcW w:w="268" w:type="pct"/>
            <w:tcBorders>
              <w:top w:val="single" w:sz="6" w:space="0" w:color="000000"/>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陕西</w:t>
            </w:r>
          </w:p>
        </w:tc>
        <w:tc>
          <w:tcPr>
            <w:tcW w:w="26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山东</w:t>
            </w:r>
          </w:p>
        </w:tc>
        <w:tc>
          <w:tcPr>
            <w:tcW w:w="269" w:type="pct"/>
            <w:tcBorders>
              <w:top w:val="single" w:sz="6" w:space="0" w:color="000000"/>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上海</w:t>
            </w:r>
          </w:p>
        </w:tc>
        <w:tc>
          <w:tcPr>
            <w:tcW w:w="269" w:type="pct"/>
            <w:tcBorders>
              <w:top w:val="single" w:sz="6" w:space="0" w:color="000000"/>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江苏</w:t>
            </w:r>
          </w:p>
        </w:tc>
        <w:tc>
          <w:tcPr>
            <w:tcW w:w="269" w:type="pct"/>
            <w:tcBorders>
              <w:top w:val="single" w:sz="6" w:space="0" w:color="000000"/>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安徽</w:t>
            </w:r>
          </w:p>
        </w:tc>
        <w:tc>
          <w:tcPr>
            <w:tcW w:w="269" w:type="pct"/>
            <w:tcBorders>
              <w:top w:val="single" w:sz="6" w:space="0" w:color="000000"/>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福建</w:t>
            </w:r>
          </w:p>
        </w:tc>
        <w:tc>
          <w:tcPr>
            <w:tcW w:w="269" w:type="pct"/>
            <w:tcBorders>
              <w:top w:val="single" w:sz="6" w:space="0" w:color="000000"/>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重庆</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贵州</w:t>
            </w:r>
            <w:r w:rsidRPr="00893D96">
              <w:rPr>
                <w:rFonts w:ascii="仿宋_GB2312" w:eastAsia="仿宋_GB2312" w:hAnsi="Tahoma" w:cs="宋体" w:hint="eastAsia"/>
                <w:b/>
                <w:color w:val="000000"/>
                <w:kern w:val="0"/>
                <w:sz w:val="15"/>
                <w:szCs w:val="15"/>
              </w:rPr>
              <w:lastRenderedPageBreak/>
              <w:t>（通航）</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lastRenderedPageBreak/>
              <w:t>湖</w:t>
            </w:r>
          </w:p>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北</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湖</w:t>
            </w:r>
          </w:p>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南</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河</w:t>
            </w:r>
          </w:p>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南</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黑</w:t>
            </w:r>
          </w:p>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龙</w:t>
            </w:r>
          </w:p>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lastRenderedPageBreak/>
              <w:t>江</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lastRenderedPageBreak/>
              <w:t>吉林</w:t>
            </w:r>
          </w:p>
        </w:tc>
        <w:tc>
          <w:tcPr>
            <w:tcW w:w="26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b/>
                <w:color w:val="000000"/>
                <w:kern w:val="0"/>
                <w:sz w:val="18"/>
                <w:szCs w:val="18"/>
              </w:rPr>
              <w:t>江西</w:t>
            </w:r>
          </w:p>
        </w:tc>
      </w:tr>
      <w:tr w:rsidR="00893D96" w:rsidRPr="00893D96" w:rsidTr="00893D96">
        <w:trPr>
          <w:trHeight w:val="375"/>
        </w:trPr>
        <w:tc>
          <w:tcPr>
            <w:tcW w:w="431"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仿宋" w:cs="宋体" w:hint="eastAsia"/>
                <w:b/>
                <w:color w:val="000000"/>
                <w:kern w:val="0"/>
                <w:sz w:val="18"/>
                <w:szCs w:val="18"/>
              </w:rPr>
              <w:lastRenderedPageBreak/>
              <w:t>计划</w:t>
            </w:r>
          </w:p>
        </w:tc>
        <w:tc>
          <w:tcPr>
            <w:tcW w:w="268" w:type="pct"/>
            <w:tcBorders>
              <w:top w:val="nil"/>
              <w:left w:val="nil"/>
              <w:bottom w:val="single" w:sz="6" w:space="0" w:color="000000"/>
              <w:right w:val="single" w:sz="6" w:space="0" w:color="000000"/>
            </w:tcBorders>
            <w:shd w:val="clear" w:color="auto" w:fill="auto"/>
            <w:noWrap/>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5</w:t>
            </w:r>
          </w:p>
        </w:tc>
        <w:tc>
          <w:tcPr>
            <w:tcW w:w="268" w:type="pct"/>
            <w:tcBorders>
              <w:top w:val="nil"/>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30</w:t>
            </w:r>
          </w:p>
        </w:tc>
        <w:tc>
          <w:tcPr>
            <w:tcW w:w="268" w:type="pct"/>
            <w:tcBorders>
              <w:top w:val="nil"/>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10</w:t>
            </w:r>
          </w:p>
        </w:tc>
        <w:tc>
          <w:tcPr>
            <w:tcW w:w="268" w:type="pct"/>
            <w:tcBorders>
              <w:top w:val="single" w:sz="6" w:space="0" w:color="000000"/>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30</w:t>
            </w:r>
          </w:p>
        </w:tc>
        <w:tc>
          <w:tcPr>
            <w:tcW w:w="268" w:type="pct"/>
            <w:tcBorders>
              <w:top w:val="nil"/>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7"/>
                <w:szCs w:val="18"/>
              </w:rPr>
              <w:t>110</w:t>
            </w:r>
          </w:p>
        </w:tc>
        <w:tc>
          <w:tcPr>
            <w:tcW w:w="269" w:type="pct"/>
            <w:tcBorders>
              <w:top w:val="nil"/>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5</w:t>
            </w:r>
          </w:p>
        </w:tc>
        <w:tc>
          <w:tcPr>
            <w:tcW w:w="269" w:type="pct"/>
            <w:tcBorders>
              <w:top w:val="nil"/>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10</w:t>
            </w:r>
          </w:p>
        </w:tc>
        <w:tc>
          <w:tcPr>
            <w:tcW w:w="269" w:type="pct"/>
            <w:tcBorders>
              <w:top w:val="nil"/>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仿宋" w:cs="宋体" w:hint="eastAsia"/>
                <w:color w:val="000000"/>
                <w:kern w:val="0"/>
                <w:sz w:val="18"/>
                <w:szCs w:val="18"/>
              </w:rPr>
              <w:t>10</w:t>
            </w:r>
          </w:p>
        </w:tc>
        <w:tc>
          <w:tcPr>
            <w:tcW w:w="269" w:type="pct"/>
            <w:tcBorders>
              <w:top w:val="nil"/>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仿宋" w:cs="宋体" w:hint="eastAsia"/>
                <w:color w:val="000000"/>
                <w:kern w:val="0"/>
                <w:sz w:val="18"/>
                <w:szCs w:val="18"/>
              </w:rPr>
              <w:t>20</w:t>
            </w:r>
          </w:p>
        </w:tc>
        <w:tc>
          <w:tcPr>
            <w:tcW w:w="269" w:type="pct"/>
            <w:tcBorders>
              <w:top w:val="single" w:sz="6" w:space="0" w:color="000000"/>
              <w:left w:val="nil"/>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20</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5</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20</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20</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20</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10</w:t>
            </w:r>
          </w:p>
        </w:tc>
        <w:tc>
          <w:tcPr>
            <w:tcW w:w="2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15</w:t>
            </w:r>
          </w:p>
        </w:tc>
        <w:tc>
          <w:tcPr>
            <w:tcW w:w="26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93D96" w:rsidRPr="00893D96" w:rsidRDefault="00893D96" w:rsidP="00893D96">
            <w:pPr>
              <w:widowControl/>
              <w:jc w:val="center"/>
              <w:rPr>
                <w:rFonts w:ascii="Tahoma" w:eastAsia="宋体" w:hAnsi="Tahoma" w:cs="Tahoma"/>
                <w:color w:val="333333"/>
                <w:kern w:val="0"/>
                <w:szCs w:val="21"/>
              </w:rPr>
            </w:pPr>
            <w:r w:rsidRPr="00893D96">
              <w:rPr>
                <w:rFonts w:ascii="仿宋_GB2312" w:eastAsia="仿宋_GB2312" w:hAnsi="Tahoma" w:cs="宋体" w:hint="eastAsia"/>
                <w:color w:val="000000"/>
                <w:kern w:val="0"/>
                <w:sz w:val="18"/>
                <w:szCs w:val="18"/>
              </w:rPr>
              <w:t>5</w:t>
            </w:r>
          </w:p>
        </w:tc>
      </w:tr>
    </w:tbl>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宋体" w:eastAsia="宋体" w:hAnsi="宋体" w:cs="宋体" w:hint="eastAsia"/>
          <w:color w:val="333333"/>
          <w:kern w:val="0"/>
          <w:sz w:val="27"/>
          <w:szCs w:val="27"/>
        </w:rPr>
        <w:t>  </w:t>
      </w:r>
      <w:r w:rsidRPr="00893D96">
        <w:rPr>
          <w:rFonts w:ascii="仿宋_GB2312" w:eastAsia="仿宋_GB2312" w:hAnsi="黑体" w:cs="Tahoma" w:hint="eastAsia"/>
          <w:color w:val="333333"/>
          <w:kern w:val="0"/>
          <w:sz w:val="27"/>
          <w:szCs w:val="27"/>
        </w:rPr>
        <w:t xml:space="preserve"> </w:t>
      </w:r>
      <w:r w:rsidRPr="00893D96">
        <w:rPr>
          <w:rFonts w:ascii="宋体" w:eastAsia="宋体" w:hAnsi="宋体" w:cs="宋体" w:hint="eastAsia"/>
          <w:color w:val="333333"/>
          <w:kern w:val="0"/>
          <w:sz w:val="27"/>
          <w:szCs w:val="27"/>
        </w:rPr>
        <w:t> </w:t>
      </w:r>
      <w:r w:rsidRPr="00893D96">
        <w:rPr>
          <w:rFonts w:ascii="仿宋_GB2312" w:eastAsia="仿宋_GB2312" w:hAnsi="黑体" w:cs="Tahoma" w:hint="eastAsia"/>
          <w:color w:val="333333"/>
          <w:kern w:val="0"/>
          <w:sz w:val="27"/>
          <w:szCs w:val="27"/>
        </w:rPr>
        <w:t>四、招录流程</w:t>
      </w:r>
    </w:p>
    <w:p w:rsidR="00893D96" w:rsidRPr="00893D96" w:rsidRDefault="00893D96" w:rsidP="00893D96">
      <w:pPr>
        <w:widowControl/>
        <w:shd w:val="clear" w:color="auto" w:fill="FFFFFF"/>
        <w:spacing w:before="100" w:beforeAutospacing="1" w:line="499" w:lineRule="atLeast"/>
        <w:ind w:firstLine="550"/>
        <w:jc w:val="left"/>
        <w:rPr>
          <w:rFonts w:ascii="Tahoma" w:eastAsia="宋体" w:hAnsi="Tahoma" w:cs="Tahoma"/>
          <w:color w:val="333333"/>
          <w:kern w:val="0"/>
          <w:szCs w:val="21"/>
        </w:rPr>
      </w:pPr>
      <w:r w:rsidRPr="00893D96">
        <w:rPr>
          <w:rFonts w:ascii="仿宋_GB2312" w:eastAsia="仿宋_GB2312" w:hAnsi="Tahoma" w:cs="Tahoma" w:hint="eastAsia"/>
          <w:b/>
          <w:bCs/>
          <w:color w:val="333333"/>
          <w:kern w:val="0"/>
          <w:sz w:val="27"/>
          <w:szCs w:val="27"/>
        </w:rPr>
        <w:t>（一）报考流程</w:t>
      </w:r>
    </w:p>
    <w:p w:rsidR="00893D96" w:rsidRPr="00893D96" w:rsidRDefault="00893D96" w:rsidP="00893D96">
      <w:pPr>
        <w:widowControl/>
        <w:shd w:val="clear" w:color="auto" w:fill="FFFFFF"/>
        <w:spacing w:before="100" w:beforeAutospacing="1" w:line="522"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1、政策学习。登陆“教育部阳光高考平台中国民用航空招飞信息系统”</w:t>
      </w:r>
      <w:r w:rsidRPr="00893D96">
        <w:rPr>
          <w:rFonts w:ascii="仿宋_GB2312" w:eastAsia="仿宋_GB2312" w:hAnsi="Times New Roman" w:cs="Times New Roman" w:hint="eastAsia"/>
          <w:color w:val="333333"/>
          <w:kern w:val="0"/>
          <w:sz w:val="27"/>
          <w:szCs w:val="27"/>
        </w:rPr>
        <w:t>(</w:t>
      </w:r>
      <w:hyperlink r:id="rId7" w:history="1">
        <w:r w:rsidRPr="00893D96">
          <w:rPr>
            <w:rFonts w:ascii="仿宋_GB2312" w:eastAsia="仿宋_GB2312" w:hAnsi="微软雅黑" w:cs="Times New Roman"/>
            <w:color w:val="0000FF"/>
            <w:kern w:val="0"/>
            <w:sz w:val="27"/>
            <w:szCs w:val="27"/>
            <w:u w:val="single"/>
          </w:rPr>
          <w:t>http://gaokao.chsi.com.cn/gkzt/mhzf</w:t>
        </w:r>
      </w:hyperlink>
      <w:r w:rsidRPr="00893D96">
        <w:rPr>
          <w:rFonts w:ascii="仿宋_GB2312" w:eastAsia="仿宋_GB2312" w:hAnsi="Times New Roman" w:cs="Times New Roman" w:hint="eastAsia"/>
          <w:color w:val="333333"/>
          <w:kern w:val="0"/>
          <w:sz w:val="27"/>
          <w:szCs w:val="27"/>
        </w:rPr>
        <w:t>)</w:t>
      </w:r>
      <w:r w:rsidRPr="00893D96">
        <w:rPr>
          <w:rFonts w:ascii="仿宋_GB2312" w:eastAsia="仿宋_GB2312" w:hAnsi="Tahoma" w:cs="Tahoma" w:hint="eastAsia"/>
          <w:color w:val="333333"/>
          <w:kern w:val="0"/>
          <w:sz w:val="27"/>
          <w:szCs w:val="27"/>
        </w:rPr>
        <w:t>，点击“民航飞行员报名入口”，关注“特别提醒”栏，下载并阅读《中国民用航空招飞信息系统2019年度考生手册》。</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2、注册报名。点击右侧“注册新用户”进行网上注册，完成注册后凭个人设置的登陆名和密码进入招飞信息系统完善个人信息并填报滨州学院志愿（院校及委培单位均选择滨州学院即可）。</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3、填写报名表。考生参考《滨州学院招收飞行学生自荐标准》，凡符合标准者，填写《滨州学院招收飞行学生报名表》，张贴一寸免冠照片，由班主任针对考生的思想品德、现实表现、学习成绩等方面进行审核评定，由学校签署推荐意见。</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4、初检、面试：考生持身份证和《滨州学院招收飞行学生报名表》参加滨州学院统一组织的初检和面试。</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5、上站体检、背景调查事宜，我校将根据中国民用航空</w:t>
      </w:r>
      <w:proofErr w:type="gramStart"/>
      <w:r w:rsidRPr="00893D96">
        <w:rPr>
          <w:rFonts w:ascii="仿宋_GB2312" w:eastAsia="仿宋_GB2312" w:hAnsi="Tahoma" w:cs="Tahoma" w:hint="eastAsia"/>
          <w:color w:val="333333"/>
          <w:kern w:val="0"/>
          <w:sz w:val="27"/>
          <w:szCs w:val="27"/>
        </w:rPr>
        <w:t>局相关</w:t>
      </w:r>
      <w:proofErr w:type="gramEnd"/>
      <w:r w:rsidRPr="00893D96">
        <w:rPr>
          <w:rFonts w:ascii="仿宋_GB2312" w:eastAsia="仿宋_GB2312" w:hAnsi="Tahoma" w:cs="Tahoma" w:hint="eastAsia"/>
          <w:color w:val="333333"/>
          <w:kern w:val="0"/>
          <w:sz w:val="27"/>
          <w:szCs w:val="27"/>
        </w:rPr>
        <w:t>要求视工作进展情况另行通知进行。</w:t>
      </w:r>
    </w:p>
    <w:p w:rsidR="00893D96" w:rsidRPr="00893D96" w:rsidRDefault="00893D96" w:rsidP="00893D96">
      <w:pPr>
        <w:widowControl/>
        <w:shd w:val="clear" w:color="auto" w:fill="FFFFFF"/>
        <w:spacing w:before="100" w:beforeAutospacing="1" w:line="499"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b/>
          <w:bCs/>
          <w:color w:val="333333"/>
          <w:kern w:val="0"/>
          <w:sz w:val="27"/>
          <w:szCs w:val="27"/>
        </w:rPr>
        <w:lastRenderedPageBreak/>
        <w:t>（二）高考报名、志愿填报与录取</w:t>
      </w:r>
    </w:p>
    <w:p w:rsidR="00893D96" w:rsidRPr="00893D96" w:rsidRDefault="00893D96" w:rsidP="00893D96">
      <w:pPr>
        <w:widowControl/>
        <w:shd w:val="clear" w:color="auto" w:fill="FFFFFF"/>
        <w:spacing w:before="100" w:beforeAutospacing="1" w:line="522"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1、高考报名。报考飞行技术专业的考生，按相关省份教育招生部门相关规定参加高考统一报名。</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2、志愿填报。填报高考志愿时，考生必须在本科提前批次填报“滨州学院飞行技术专业”志愿。</w:t>
      </w:r>
    </w:p>
    <w:p w:rsidR="00893D96" w:rsidRPr="00893D96" w:rsidRDefault="00893D96" w:rsidP="00893D96">
      <w:pPr>
        <w:widowControl/>
        <w:shd w:val="clear" w:color="auto" w:fill="FFFFFF"/>
        <w:spacing w:before="100" w:beforeAutospacing="1" w:line="522" w:lineRule="atLeast"/>
        <w:ind w:firstLine="550"/>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3、录取阶段。按照中国民用航空局关于《2019年普通高校招收飞行学生录取最低控制分数线》相关文件由高到低择优录取(不含任何政策加分)。</w:t>
      </w:r>
    </w:p>
    <w:p w:rsidR="00893D96" w:rsidRPr="00893D96" w:rsidRDefault="00893D96" w:rsidP="00893D96">
      <w:pPr>
        <w:widowControl/>
        <w:shd w:val="clear" w:color="auto" w:fill="FFFFFF"/>
        <w:spacing w:before="100" w:beforeAutospacing="1" w:line="522" w:lineRule="atLeast"/>
        <w:ind w:firstLine="550"/>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五、相关费用</w:t>
      </w:r>
    </w:p>
    <w:p w:rsidR="00893D96" w:rsidRPr="00893D96" w:rsidRDefault="00893D96" w:rsidP="00893D96">
      <w:pPr>
        <w:widowControl/>
        <w:shd w:val="clear" w:color="auto" w:fill="FFFFFF"/>
        <w:spacing w:before="100" w:beforeAutospacing="1" w:line="522"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1、学生在校期间，享受普通学生的一切待遇，同时还享受饮食补贴。学费收取将按照山东省物价局有关文件规定施行学分制收费。</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2、学员（航校飞行实训）期间产生费用由航空公司承担。</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六、淘汰机制</w:t>
      </w:r>
    </w:p>
    <w:p w:rsidR="00893D96" w:rsidRPr="00893D96" w:rsidRDefault="00893D96" w:rsidP="00893D96">
      <w:pPr>
        <w:widowControl/>
        <w:shd w:val="clear" w:color="auto" w:fill="FFFFFF"/>
        <w:spacing w:before="100" w:beforeAutospacing="1" w:line="522"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1、</w:t>
      </w: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入学后三个月内，按照《民航局招收飞行学生体检鉴定标准》对学生进行复查，合格者予以注册学籍，不合格者将视不同情况予以处理，直至取消入学资格。凡违反国家招生规定、弄虚作假、徇私舞弊者，将报请有关部门，我校将取消其注册学籍资格直至取消学籍。</w:t>
      </w:r>
    </w:p>
    <w:p w:rsidR="00893D96" w:rsidRPr="00893D96" w:rsidRDefault="00893D96" w:rsidP="00893D96">
      <w:pPr>
        <w:widowControl/>
        <w:shd w:val="clear" w:color="auto" w:fill="FFFFFF"/>
        <w:spacing w:before="100" w:beforeAutospacing="1" w:line="522"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lastRenderedPageBreak/>
        <w:t> </w:t>
      </w:r>
      <w:r w:rsidRPr="00893D96">
        <w:rPr>
          <w:rFonts w:ascii="仿宋_GB2312" w:eastAsia="仿宋_GB2312" w:hAnsi="Tahoma" w:cs="Tahoma" w:hint="eastAsia"/>
          <w:color w:val="333333"/>
          <w:kern w:val="0"/>
          <w:sz w:val="27"/>
          <w:szCs w:val="27"/>
        </w:rPr>
        <w:t>2、</w:t>
      </w: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学生在校期间，如由于身体、技术等原因被停飞，我校依据《滨州学院学籍管理办法》，将其转入相关本科专业学习；如由于违纪、成绩等原因被停飞，我校依据学校有关规定对学生进行处理，直至退学。</w:t>
      </w:r>
    </w:p>
    <w:p w:rsidR="00893D96" w:rsidRPr="00893D96" w:rsidRDefault="00893D96" w:rsidP="00893D96">
      <w:pPr>
        <w:widowControl/>
        <w:shd w:val="clear" w:color="auto" w:fill="FFFFFF"/>
        <w:spacing w:before="100" w:beforeAutospacing="1" w:line="522"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七、毕业与就业</w:t>
      </w:r>
    </w:p>
    <w:p w:rsidR="00893D96" w:rsidRPr="00893D96" w:rsidRDefault="00893D96" w:rsidP="00893D96">
      <w:pPr>
        <w:widowControl/>
        <w:shd w:val="clear" w:color="auto" w:fill="FFFFFF"/>
        <w:spacing w:before="100" w:beforeAutospacing="1" w:line="499" w:lineRule="atLeast"/>
        <w:ind w:firstLine="550"/>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飞行技术专业驾驶方向学生修完所有课程和培训科目，成绩合格，取得中国民用航空局认可的有关执照、完成毕业设计并通过论文答辩的，可获得滨州学院颁发的大学本科毕业证书；达到规定授予学士学位标准的，获得工学学士学位证书，然后到签约航空公司工作。</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 xml:space="preserve"> 八、学校优势</w:t>
      </w:r>
    </w:p>
    <w:p w:rsidR="00893D96" w:rsidRPr="00893D96" w:rsidRDefault="00893D96" w:rsidP="00893D96">
      <w:pPr>
        <w:widowControl/>
        <w:shd w:val="clear" w:color="auto" w:fill="FFFFFF"/>
        <w:spacing w:before="100" w:beforeAutospacing="1" w:line="499" w:lineRule="atLeast"/>
        <w:ind w:firstLine="573"/>
        <w:jc w:val="left"/>
        <w:rPr>
          <w:rFonts w:ascii="Tahoma" w:eastAsia="宋体" w:hAnsi="Tahoma" w:cs="Tahoma"/>
          <w:color w:val="333333"/>
          <w:kern w:val="0"/>
          <w:szCs w:val="21"/>
        </w:rPr>
      </w:pPr>
      <w:r w:rsidRPr="00893D96">
        <w:rPr>
          <w:rFonts w:ascii="仿宋_GB2312" w:eastAsia="仿宋_GB2312" w:hAnsi="Tahoma" w:cs="Tahoma" w:hint="eastAsia"/>
          <w:b/>
          <w:bCs/>
          <w:color w:val="333333"/>
          <w:kern w:val="0"/>
          <w:sz w:val="27"/>
          <w:szCs w:val="27"/>
        </w:rPr>
        <w:t>1、专业设置早</w:t>
      </w:r>
    </w:p>
    <w:p w:rsidR="00893D96" w:rsidRPr="00893D96" w:rsidRDefault="00893D96" w:rsidP="00893D96">
      <w:pPr>
        <w:widowControl/>
        <w:shd w:val="clear" w:color="auto" w:fill="FFFFFF"/>
        <w:spacing w:before="100" w:beforeAutospacing="1" w:line="499" w:lineRule="atLeast"/>
        <w:ind w:firstLine="573"/>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围绕服务我国民航事业，学校于2006年组建飞行学院，是全国第一家培养飞行学员的地方综合类本科院校,填补了山东省</w:t>
      </w:r>
      <w:proofErr w:type="gramStart"/>
      <w:r w:rsidRPr="00893D96">
        <w:rPr>
          <w:rFonts w:ascii="仿宋_GB2312" w:eastAsia="仿宋_GB2312" w:hAnsi="Tahoma" w:cs="Tahoma" w:hint="eastAsia"/>
          <w:color w:val="333333"/>
          <w:kern w:val="0"/>
          <w:sz w:val="27"/>
          <w:szCs w:val="27"/>
        </w:rPr>
        <w:t>内专业</w:t>
      </w:r>
      <w:proofErr w:type="gramEnd"/>
      <w:r w:rsidRPr="00893D96">
        <w:rPr>
          <w:rFonts w:ascii="仿宋_GB2312" w:eastAsia="仿宋_GB2312" w:hAnsi="Tahoma" w:cs="Tahoma" w:hint="eastAsia"/>
          <w:color w:val="333333"/>
          <w:kern w:val="0"/>
          <w:sz w:val="27"/>
          <w:szCs w:val="27"/>
        </w:rPr>
        <w:t>设置的空白。成为了全国第五家培养飞行学员的高等院校。</w:t>
      </w:r>
    </w:p>
    <w:p w:rsidR="00893D96" w:rsidRPr="00893D96" w:rsidRDefault="00893D96" w:rsidP="00893D96">
      <w:pPr>
        <w:widowControl/>
        <w:shd w:val="clear" w:color="auto" w:fill="FFFFFF"/>
        <w:spacing w:before="100" w:beforeAutospacing="1" w:line="499" w:lineRule="atLeast"/>
        <w:ind w:firstLine="573"/>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2、</w:t>
      </w:r>
      <w:r w:rsidRPr="00893D96">
        <w:rPr>
          <w:rFonts w:ascii="仿宋_GB2312" w:eastAsia="仿宋_GB2312" w:hAnsi="Tahoma" w:cs="Tahoma" w:hint="eastAsia"/>
          <w:b/>
          <w:bCs/>
          <w:color w:val="333333"/>
          <w:kern w:val="0"/>
          <w:sz w:val="27"/>
          <w:szCs w:val="27"/>
        </w:rPr>
        <w:t>出飞率高</w:t>
      </w:r>
    </w:p>
    <w:p w:rsidR="00893D96" w:rsidRPr="00893D96" w:rsidRDefault="00893D96" w:rsidP="00893D96">
      <w:pPr>
        <w:widowControl/>
        <w:shd w:val="clear" w:color="auto" w:fill="FFFFFF"/>
        <w:spacing w:before="100" w:beforeAutospacing="1" w:line="499"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我校学生国际民航英语达标率、出国面试合格率、理论考试合格率等在国内民航院校中均名列前茅。其中，2006级学生在美国泛亚航校的理论考试中，一次性通过率超过了70%，打破了该校建校以来一次性通过率45%的记录，获得美国泛亚航校年度唯一的飞行技术奖。自创办飞行技术专业以来，培养合格到相应航空公司就业（出飞率）达93%以上。</w:t>
      </w:r>
    </w:p>
    <w:p w:rsidR="00893D96" w:rsidRPr="00893D96" w:rsidRDefault="00893D96" w:rsidP="00893D96">
      <w:pPr>
        <w:widowControl/>
        <w:shd w:val="clear" w:color="auto" w:fill="FFFFFF"/>
        <w:spacing w:before="100" w:beforeAutospacing="1" w:line="499"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lastRenderedPageBreak/>
        <w:t>九、其他</w:t>
      </w:r>
    </w:p>
    <w:p w:rsidR="00893D96" w:rsidRPr="00893D96" w:rsidRDefault="00893D96" w:rsidP="00893D96">
      <w:pPr>
        <w:widowControl/>
        <w:shd w:val="clear" w:color="auto" w:fill="FFFFFF"/>
        <w:spacing w:before="100" w:beforeAutospacing="1" w:line="499"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相关省份考生对应航空公司及文理科类、身高、视力等具体要求详见考生所在省份招生简章。</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 xml:space="preserve"> </w:t>
      </w: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十、咨询电话与地址</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学校地址：山东省滨州市黄河五路391号滨州学院招生就业处</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 xml:space="preserve"> 咨询电话：0543-3190201、3194990</w:t>
      </w:r>
    </w:p>
    <w:p w:rsidR="00893D96" w:rsidRPr="00893D96" w:rsidRDefault="00893D96" w:rsidP="00893D96">
      <w:pPr>
        <w:widowControl/>
        <w:shd w:val="clear" w:color="auto" w:fill="FFFFFF"/>
        <w:spacing w:before="100" w:beforeAutospacing="1" w:line="499"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链接网址：</w:t>
      </w:r>
      <w:r w:rsidRPr="00893D96">
        <w:rPr>
          <w:rFonts w:ascii="Times New Roman" w:eastAsia="宋体" w:hAnsi="Times New Roman" w:cs="Times New Roman"/>
          <w:color w:val="0000FF"/>
          <w:kern w:val="0"/>
          <w:szCs w:val="21"/>
          <w:u w:val="single"/>
        </w:rPr>
        <w:fldChar w:fldCharType="begin"/>
      </w:r>
      <w:r w:rsidRPr="00893D96">
        <w:rPr>
          <w:rFonts w:ascii="Times New Roman" w:eastAsia="宋体" w:hAnsi="Times New Roman" w:cs="Times New Roman"/>
          <w:color w:val="0000FF"/>
          <w:kern w:val="0"/>
          <w:szCs w:val="21"/>
          <w:u w:val="single"/>
        </w:rPr>
        <w:instrText xml:space="preserve"> HYPERLINK "http://www.bztc.edu.cn/" </w:instrText>
      </w:r>
      <w:r w:rsidRPr="00893D96">
        <w:rPr>
          <w:rFonts w:ascii="Times New Roman" w:eastAsia="宋体" w:hAnsi="Times New Roman" w:cs="Times New Roman"/>
          <w:color w:val="0000FF"/>
          <w:kern w:val="0"/>
          <w:szCs w:val="21"/>
          <w:u w:val="single"/>
        </w:rPr>
        <w:fldChar w:fldCharType="separate"/>
      </w:r>
      <w:r w:rsidRPr="00893D96">
        <w:rPr>
          <w:rFonts w:ascii="仿宋_GB2312" w:eastAsia="仿宋_GB2312" w:hAnsi="微软雅黑" w:cs="Times New Roman"/>
          <w:color w:val="000000"/>
          <w:kern w:val="0"/>
          <w:sz w:val="27"/>
          <w:szCs w:val="27"/>
        </w:rPr>
        <w:t>http://www.bztc.edu.cn/</w:t>
      </w:r>
      <w:r w:rsidRPr="00893D96">
        <w:rPr>
          <w:rFonts w:ascii="Times New Roman" w:eastAsia="宋体" w:hAnsi="Times New Roman" w:cs="Times New Roman"/>
          <w:color w:val="0000FF"/>
          <w:kern w:val="0"/>
          <w:szCs w:val="21"/>
          <w:u w:val="single"/>
        </w:rPr>
        <w:fldChar w:fldCharType="end"/>
      </w:r>
      <w:r w:rsidRPr="00893D96">
        <w:rPr>
          <w:rFonts w:ascii="仿宋_GB2312" w:eastAsia="仿宋_GB2312" w:hAnsi="Tahoma" w:cs="Tahoma" w:hint="eastAsia"/>
          <w:color w:val="333333"/>
          <w:kern w:val="0"/>
          <w:sz w:val="27"/>
          <w:szCs w:val="27"/>
        </w:rPr>
        <w:t xml:space="preserve">（滨州学院主页） </w:t>
      </w:r>
      <w:r w:rsidRPr="00893D96">
        <w:rPr>
          <w:rFonts w:ascii="仿宋_GB2312" w:eastAsia="仿宋_GB2312" w:hAnsi="Tahoma" w:cs="Tahoma" w:hint="eastAsia"/>
          <w:color w:val="333333"/>
          <w:kern w:val="0"/>
          <w:sz w:val="27"/>
          <w:szCs w:val="27"/>
        </w:rPr>
        <w:t>             </w:t>
      </w:r>
    </w:p>
    <w:p w:rsidR="00893D96" w:rsidRPr="00893D96" w:rsidRDefault="00893D96" w:rsidP="00893D96">
      <w:pPr>
        <w:widowControl/>
        <w:shd w:val="clear" w:color="auto" w:fill="FFFFFF"/>
        <w:spacing w:before="100" w:beforeAutospacing="1" w:line="499" w:lineRule="atLeast"/>
        <w:ind w:firstLine="561"/>
        <w:jc w:val="left"/>
        <w:rPr>
          <w:rFonts w:ascii="Tahoma" w:eastAsia="宋体" w:hAnsi="Tahoma" w:cs="Tahoma"/>
          <w:color w:val="333333"/>
          <w:kern w:val="0"/>
          <w:szCs w:val="21"/>
        </w:rPr>
      </w:pPr>
      <w:hyperlink r:id="rId8" w:history="1">
        <w:r w:rsidRPr="00893D96">
          <w:rPr>
            <w:rFonts w:ascii="仿宋_GB2312" w:eastAsia="仿宋_GB2312" w:hAnsi="微软雅黑" w:cs="Times New Roman"/>
            <w:color w:val="000000"/>
            <w:kern w:val="0"/>
            <w:sz w:val="27"/>
            <w:szCs w:val="27"/>
          </w:rPr>
          <w:t>http://zsjy.bzu.edu.cn/</w:t>
        </w:r>
      </w:hyperlink>
      <w:r w:rsidRPr="00893D96">
        <w:rPr>
          <w:rFonts w:ascii="仿宋_GB2312" w:eastAsia="仿宋_GB2312" w:hAnsi="Tahoma" w:cs="Tahoma" w:hint="eastAsia"/>
          <w:color w:val="333333"/>
          <w:kern w:val="0"/>
          <w:sz w:val="27"/>
          <w:szCs w:val="27"/>
        </w:rPr>
        <w:t>（招生就业处网址）</w:t>
      </w:r>
    </w:p>
    <w:p w:rsidR="00893D96" w:rsidRPr="00893D96" w:rsidRDefault="00893D96" w:rsidP="00893D96">
      <w:pPr>
        <w:widowControl/>
        <w:shd w:val="clear" w:color="auto" w:fill="FFFFFF"/>
        <w:spacing w:before="100" w:beforeAutospacing="1" w:line="499" w:lineRule="atLeast"/>
        <w:ind w:firstLine="561"/>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 xml:space="preserve">邮 </w:t>
      </w:r>
      <w:r w:rsidRPr="00893D96">
        <w:rPr>
          <w:rFonts w:ascii="仿宋_GB2312" w:eastAsia="仿宋_GB2312" w:hAnsi="Tahoma" w:cs="Tahoma" w:hint="eastAsia"/>
          <w:color w:val="333333"/>
          <w:kern w:val="0"/>
          <w:sz w:val="27"/>
          <w:szCs w:val="27"/>
        </w:rPr>
        <w:t>   </w:t>
      </w:r>
      <w:r w:rsidRPr="00893D96">
        <w:rPr>
          <w:rFonts w:ascii="仿宋_GB2312" w:eastAsia="仿宋_GB2312" w:hAnsi="Tahoma" w:cs="Tahoma" w:hint="eastAsia"/>
          <w:color w:val="333333"/>
          <w:kern w:val="0"/>
          <w:sz w:val="27"/>
          <w:szCs w:val="27"/>
        </w:rPr>
        <w:t>编：256603</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b/>
          <w:bCs/>
          <w:color w:val="333333"/>
          <w:kern w:val="0"/>
          <w:sz w:val="27"/>
          <w:szCs w:val="27"/>
        </w:rPr>
        <w:t>附件1：</w:t>
      </w:r>
    </w:p>
    <w:p w:rsidR="00893D96" w:rsidRPr="00893D96" w:rsidRDefault="00893D96" w:rsidP="00893D96">
      <w:pPr>
        <w:widowControl/>
        <w:shd w:val="clear" w:color="auto" w:fill="FFFFFF"/>
        <w:spacing w:before="100" w:beforeAutospacing="1"/>
        <w:jc w:val="center"/>
        <w:rPr>
          <w:rFonts w:ascii="Tahoma" w:eastAsia="宋体" w:hAnsi="Tahoma" w:cs="Tahoma"/>
          <w:color w:val="333333"/>
          <w:kern w:val="0"/>
          <w:szCs w:val="21"/>
        </w:rPr>
      </w:pPr>
      <w:r w:rsidRPr="00893D96">
        <w:rPr>
          <w:rFonts w:ascii="仿宋_GB2312" w:eastAsia="仿宋_GB2312" w:hAnsi="华文中宋" w:cs="Tahoma" w:hint="eastAsia"/>
          <w:b/>
          <w:bCs/>
          <w:color w:val="000000"/>
          <w:kern w:val="0"/>
          <w:sz w:val="36"/>
          <w:szCs w:val="36"/>
        </w:rPr>
        <w:t>滨州学院飞行技术专业自荐标准</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凡具有下列情况之一者，不能报考飞行技术：</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1.身高不足168厘米或超过185厘米；</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2.单眼裸眼视力低于0.1(C字表)，斜视、色盲、色弱；</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bookmarkStart w:id="2" w:name="_Hlk495133225"/>
      <w:bookmarkEnd w:id="2"/>
      <w:r w:rsidRPr="00893D96">
        <w:rPr>
          <w:rFonts w:ascii="仿宋_GB2312" w:eastAsia="仿宋_GB2312" w:hAnsi="Tahoma" w:cs="Tahoma" w:hint="eastAsia"/>
          <w:color w:val="000000"/>
          <w:kern w:val="0"/>
          <w:sz w:val="27"/>
          <w:szCs w:val="27"/>
        </w:rPr>
        <w:lastRenderedPageBreak/>
        <w:t>3.体质指数＞24或＜18.5，BMI=W/H</w:t>
      </w:r>
      <w:r w:rsidRPr="00893D96">
        <w:rPr>
          <w:rFonts w:ascii="仿宋_GB2312" w:eastAsia="仿宋_GB2312" w:hAnsi="Tahoma" w:cs="Tahoma" w:hint="eastAsia"/>
          <w:color w:val="000000"/>
          <w:kern w:val="0"/>
          <w:sz w:val="27"/>
          <w:szCs w:val="27"/>
          <w:vertAlign w:val="superscript"/>
        </w:rPr>
        <w:t>2</w:t>
      </w:r>
      <w:r w:rsidRPr="00893D96">
        <w:rPr>
          <w:rFonts w:ascii="仿宋_GB2312" w:eastAsia="仿宋_GB2312" w:hAnsi="Tahoma" w:cs="Tahoma" w:hint="eastAsia"/>
          <w:color w:val="000000"/>
          <w:kern w:val="0"/>
          <w:sz w:val="27"/>
          <w:szCs w:val="27"/>
        </w:rPr>
        <w:t>（式中：BMI—体质指数；W—体重，单位为千克（kg）；H－身高，单位为米（ｍ））。</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4.较重的砂眼或倒睫；</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5.明显的“Ο”型或“X”型腿；</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6.颜面五官明显不对称；</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7.纹身；</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8.口吃；</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9.久治不愈的皮肤病，如头癣、湿疹、牛皮癣、慢性荨麻疹等；</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10.骨与关节疾病或畸形；</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11.晕车、晕船；</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12.腋臭；</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13.慢性肠胃道疾病；</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14.肝炎或肝脾肿大，</w:t>
      </w:r>
      <w:proofErr w:type="spellStart"/>
      <w:r w:rsidRPr="00893D96">
        <w:rPr>
          <w:rFonts w:ascii="仿宋_GB2312" w:eastAsia="仿宋_GB2312" w:hAnsi="Tahoma" w:cs="Tahoma" w:hint="eastAsia"/>
          <w:color w:val="333333"/>
          <w:kern w:val="0"/>
          <w:sz w:val="27"/>
          <w:szCs w:val="27"/>
        </w:rPr>
        <w:t>HbsAg</w:t>
      </w:r>
      <w:proofErr w:type="spellEnd"/>
      <w:r w:rsidRPr="00893D96">
        <w:rPr>
          <w:rFonts w:ascii="仿宋_GB2312" w:eastAsia="仿宋_GB2312" w:hAnsi="Tahoma" w:cs="Tahoma" w:hint="eastAsia"/>
          <w:color w:val="333333"/>
          <w:kern w:val="0"/>
          <w:sz w:val="27"/>
          <w:szCs w:val="27"/>
        </w:rPr>
        <w:t>阳性；</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15.肾炎或血尿，蛋白尿；</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16.传染病史及精神病家族史，癫痫病史；</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t>17.耳朵流过脓，听力差，经常耳鸣；</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ahoma" w:cs="Tahoma" w:hint="eastAsia"/>
          <w:color w:val="333333"/>
          <w:kern w:val="0"/>
          <w:sz w:val="27"/>
          <w:szCs w:val="27"/>
        </w:rPr>
        <w:lastRenderedPageBreak/>
        <w:t>18.血压：不在正常血压范围（正常血压：收缩压在90-140mmHg之间，舒张压在60-90mmHg之间）。</w:t>
      </w:r>
    </w:p>
    <w:p w:rsidR="00893D96" w:rsidRPr="00893D96" w:rsidRDefault="00893D96" w:rsidP="00893D96">
      <w:pPr>
        <w:widowControl/>
        <w:shd w:val="clear" w:color="auto" w:fill="FFFFFF"/>
        <w:spacing w:before="100" w:beforeAutospacing="1" w:line="499" w:lineRule="atLeast"/>
        <w:jc w:val="left"/>
        <w:rPr>
          <w:rFonts w:ascii="Tahoma" w:eastAsia="宋体" w:hAnsi="Tahoma" w:cs="Tahoma"/>
          <w:color w:val="333333"/>
          <w:kern w:val="0"/>
          <w:szCs w:val="21"/>
        </w:rPr>
      </w:pPr>
      <w:r w:rsidRPr="00893D96">
        <w:rPr>
          <w:rFonts w:ascii="仿宋_GB2312" w:eastAsia="仿宋_GB2312" w:hAnsi="Times New Roman" w:cs="Times New Roman" w:hint="eastAsia"/>
          <w:color w:val="333333"/>
          <w:kern w:val="0"/>
          <w:sz w:val="27"/>
          <w:szCs w:val="27"/>
        </w:rPr>
        <w:t>19.</w:t>
      </w:r>
      <w:r w:rsidRPr="00893D96">
        <w:rPr>
          <w:rFonts w:ascii="仿宋_GB2312" w:eastAsia="仿宋_GB2312" w:hAnsi="Tahoma" w:cs="Tahoma" w:hint="eastAsia"/>
          <w:color w:val="333333"/>
          <w:kern w:val="0"/>
          <w:sz w:val="27"/>
          <w:szCs w:val="27"/>
        </w:rPr>
        <w:t>学生父母亲或其他直接抚养者有严重问题，正在接受审查或未查清结论；近年来因犯有严重问题被开除党籍、公职、劳动教养，练习法轮功及有害气功，以及其他特殊情况。</w:t>
      </w:r>
    </w:p>
    <w:p w:rsidR="00B55436" w:rsidRPr="00893D96" w:rsidRDefault="00B55436"/>
    <w:sectPr w:rsidR="00B55436" w:rsidRPr="00893D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8D8" w:rsidRDefault="00D758D8" w:rsidP="00893D96">
      <w:r>
        <w:separator/>
      </w:r>
    </w:p>
  </w:endnote>
  <w:endnote w:type="continuationSeparator" w:id="0">
    <w:p w:rsidR="00D758D8" w:rsidRDefault="00D758D8" w:rsidP="0089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8D8" w:rsidRDefault="00D758D8" w:rsidP="00893D96">
      <w:r>
        <w:separator/>
      </w:r>
    </w:p>
  </w:footnote>
  <w:footnote w:type="continuationSeparator" w:id="0">
    <w:p w:rsidR="00D758D8" w:rsidRDefault="00D758D8" w:rsidP="00893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05"/>
    <w:rsid w:val="00893D96"/>
    <w:rsid w:val="00B55436"/>
    <w:rsid w:val="00C46F05"/>
    <w:rsid w:val="00D7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3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3D96"/>
    <w:rPr>
      <w:sz w:val="18"/>
      <w:szCs w:val="18"/>
    </w:rPr>
  </w:style>
  <w:style w:type="paragraph" w:styleId="a4">
    <w:name w:val="footer"/>
    <w:basedOn w:val="a"/>
    <w:link w:val="Char0"/>
    <w:uiPriority w:val="99"/>
    <w:unhideWhenUsed/>
    <w:rsid w:val="00893D96"/>
    <w:pPr>
      <w:tabs>
        <w:tab w:val="center" w:pos="4153"/>
        <w:tab w:val="right" w:pos="8306"/>
      </w:tabs>
      <w:snapToGrid w:val="0"/>
      <w:jc w:val="left"/>
    </w:pPr>
    <w:rPr>
      <w:sz w:val="18"/>
      <w:szCs w:val="18"/>
    </w:rPr>
  </w:style>
  <w:style w:type="character" w:customStyle="1" w:styleId="Char0">
    <w:name w:val="页脚 Char"/>
    <w:basedOn w:val="a0"/>
    <w:link w:val="a4"/>
    <w:uiPriority w:val="99"/>
    <w:rsid w:val="00893D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3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3D96"/>
    <w:rPr>
      <w:sz w:val="18"/>
      <w:szCs w:val="18"/>
    </w:rPr>
  </w:style>
  <w:style w:type="paragraph" w:styleId="a4">
    <w:name w:val="footer"/>
    <w:basedOn w:val="a"/>
    <w:link w:val="Char0"/>
    <w:uiPriority w:val="99"/>
    <w:unhideWhenUsed/>
    <w:rsid w:val="00893D96"/>
    <w:pPr>
      <w:tabs>
        <w:tab w:val="center" w:pos="4153"/>
        <w:tab w:val="right" w:pos="8306"/>
      </w:tabs>
      <w:snapToGrid w:val="0"/>
      <w:jc w:val="left"/>
    </w:pPr>
    <w:rPr>
      <w:sz w:val="18"/>
      <w:szCs w:val="18"/>
    </w:rPr>
  </w:style>
  <w:style w:type="character" w:customStyle="1" w:styleId="Char0">
    <w:name w:val="页脚 Char"/>
    <w:basedOn w:val="a0"/>
    <w:link w:val="a4"/>
    <w:uiPriority w:val="99"/>
    <w:rsid w:val="00893D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27615">
      <w:bodyDiv w:val="1"/>
      <w:marLeft w:val="0"/>
      <w:marRight w:val="0"/>
      <w:marTop w:val="0"/>
      <w:marBottom w:val="0"/>
      <w:divBdr>
        <w:top w:val="none" w:sz="0" w:space="0" w:color="auto"/>
        <w:left w:val="none" w:sz="0" w:space="0" w:color="auto"/>
        <w:bottom w:val="none" w:sz="0" w:space="0" w:color="auto"/>
        <w:right w:val="none" w:sz="0" w:space="0" w:color="auto"/>
      </w:divBdr>
      <w:divsChild>
        <w:div w:id="1244298967">
          <w:marLeft w:val="0"/>
          <w:marRight w:val="0"/>
          <w:marTop w:val="0"/>
          <w:marBottom w:val="0"/>
          <w:divBdr>
            <w:top w:val="none" w:sz="0" w:space="0" w:color="auto"/>
            <w:left w:val="none" w:sz="0" w:space="0" w:color="auto"/>
            <w:bottom w:val="none" w:sz="0" w:space="0" w:color="auto"/>
            <w:right w:val="none" w:sz="0" w:space="0" w:color="auto"/>
          </w:divBdr>
          <w:divsChild>
            <w:div w:id="157842533">
              <w:marLeft w:val="0"/>
              <w:marRight w:val="0"/>
              <w:marTop w:val="0"/>
              <w:marBottom w:val="0"/>
              <w:divBdr>
                <w:top w:val="none" w:sz="0" w:space="0" w:color="auto"/>
                <w:left w:val="none" w:sz="0" w:space="0" w:color="auto"/>
                <w:bottom w:val="none" w:sz="0" w:space="0" w:color="auto"/>
                <w:right w:val="none" w:sz="0" w:space="0" w:color="auto"/>
              </w:divBdr>
              <w:divsChild>
                <w:div w:id="159780261">
                  <w:marLeft w:val="0"/>
                  <w:marRight w:val="0"/>
                  <w:marTop w:val="0"/>
                  <w:marBottom w:val="0"/>
                  <w:divBdr>
                    <w:top w:val="none" w:sz="0" w:space="0" w:color="auto"/>
                    <w:left w:val="none" w:sz="0" w:space="0" w:color="auto"/>
                    <w:bottom w:val="none" w:sz="0" w:space="0" w:color="auto"/>
                    <w:right w:val="none" w:sz="0" w:space="0" w:color="auto"/>
                  </w:divBdr>
                  <w:divsChild>
                    <w:div w:id="951285044">
                      <w:marLeft w:val="0"/>
                      <w:marRight w:val="0"/>
                      <w:marTop w:val="0"/>
                      <w:marBottom w:val="0"/>
                      <w:divBdr>
                        <w:top w:val="none" w:sz="0" w:space="0" w:color="auto"/>
                        <w:left w:val="none" w:sz="0" w:space="0" w:color="auto"/>
                        <w:bottom w:val="none" w:sz="0" w:space="0" w:color="auto"/>
                        <w:right w:val="none" w:sz="0" w:space="0" w:color="auto"/>
                      </w:divBdr>
                      <w:divsChild>
                        <w:div w:id="308245540">
                          <w:marLeft w:val="0"/>
                          <w:marRight w:val="0"/>
                          <w:marTop w:val="0"/>
                          <w:marBottom w:val="0"/>
                          <w:divBdr>
                            <w:top w:val="none" w:sz="0" w:space="0" w:color="auto"/>
                            <w:left w:val="none" w:sz="0" w:space="0" w:color="auto"/>
                            <w:bottom w:val="none" w:sz="0" w:space="0" w:color="auto"/>
                            <w:right w:val="none" w:sz="0" w:space="0" w:color="auto"/>
                          </w:divBdr>
                          <w:divsChild>
                            <w:div w:id="2002661026">
                              <w:marLeft w:val="0"/>
                              <w:marRight w:val="0"/>
                              <w:marTop w:val="0"/>
                              <w:marBottom w:val="0"/>
                              <w:divBdr>
                                <w:top w:val="none" w:sz="0" w:space="0" w:color="auto"/>
                                <w:left w:val="none" w:sz="0" w:space="0" w:color="auto"/>
                                <w:bottom w:val="none" w:sz="0" w:space="0" w:color="auto"/>
                                <w:right w:val="none" w:sz="0" w:space="0" w:color="auto"/>
                              </w:divBdr>
                              <w:divsChild>
                                <w:div w:id="7263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sjy.bzu.edu.cn/" TargetMode="External"/><Relationship Id="rId3" Type="http://schemas.openxmlformats.org/officeDocument/2006/relationships/settings" Target="settings.xml"/><Relationship Id="rId7" Type="http://schemas.openxmlformats.org/officeDocument/2006/relationships/hyperlink" Target="http://gaokao.chsi.com.cn/gkzt/mhz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490</Words>
  <Characters>2799</Characters>
  <Application>Microsoft Office Word</Application>
  <DocSecurity>0</DocSecurity>
  <Lines>23</Lines>
  <Paragraphs>6</Paragraphs>
  <ScaleCrop>false</ScaleCrop>
  <Company>微软中国</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2019-12-19T09:59:00Z</dcterms:created>
  <dcterms:modified xsi:type="dcterms:W3CDTF">2019-12-19T10:00:00Z</dcterms:modified>
</cp:coreProperties>
</file>